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B42B98" w14:textId="77777777" w:rsidR="009A1130" w:rsidRDefault="009A1130" w:rsidP="009A1130">
      <w:pPr>
        <w:jc w:val="center"/>
      </w:pPr>
    </w:p>
    <w:p w14:paraId="47F91A85" w14:textId="77777777" w:rsidR="009A1130" w:rsidRDefault="009A1130" w:rsidP="009A1130">
      <w:pPr>
        <w:jc w:val="center"/>
      </w:pPr>
    </w:p>
    <w:p w14:paraId="3A7B31EA" w14:textId="77777777" w:rsidR="009A1130" w:rsidRDefault="009A1130" w:rsidP="009A1130">
      <w:pPr>
        <w:jc w:val="center"/>
      </w:pPr>
    </w:p>
    <w:p w14:paraId="2336B06E" w14:textId="77777777" w:rsidR="009A1130" w:rsidRDefault="0039342A" w:rsidP="009A1130">
      <w:pPr>
        <w:jc w:val="center"/>
      </w:pPr>
      <w:r>
        <w:t>Wyatt Vs Stickney Case: Right to Treatment for Mentally Impaired Prisoners</w:t>
      </w:r>
    </w:p>
    <w:p w14:paraId="041B3E50" w14:textId="77777777" w:rsidR="009A1130" w:rsidRDefault="0039342A" w:rsidP="009A1130">
      <w:pPr>
        <w:jc w:val="center"/>
      </w:pPr>
      <w:r>
        <w:t>Student’s Name</w:t>
      </w:r>
    </w:p>
    <w:p w14:paraId="24322814" w14:textId="77777777" w:rsidR="009A1130" w:rsidRDefault="0039342A" w:rsidP="009A1130">
      <w:pPr>
        <w:jc w:val="center"/>
      </w:pPr>
      <w:r>
        <w:t>Institutional Affiliation</w:t>
      </w:r>
    </w:p>
    <w:p w14:paraId="333856C4" w14:textId="77777777" w:rsidR="009A1130" w:rsidRDefault="0039342A" w:rsidP="009A1130">
      <w:pPr>
        <w:jc w:val="center"/>
      </w:pPr>
      <w:r>
        <w:t>Date</w:t>
      </w:r>
    </w:p>
    <w:p w14:paraId="13656C55" w14:textId="77777777" w:rsidR="009A1130" w:rsidRDefault="009A1130" w:rsidP="001C1170"/>
    <w:p w14:paraId="34F9A52A" w14:textId="77777777" w:rsidR="009A1130" w:rsidRDefault="009A1130" w:rsidP="001C1170"/>
    <w:p w14:paraId="6841FD25" w14:textId="77777777" w:rsidR="009A1130" w:rsidRDefault="009A1130" w:rsidP="001C1170"/>
    <w:p w14:paraId="469959D2" w14:textId="77777777" w:rsidR="009A1130" w:rsidRDefault="009A1130" w:rsidP="001C1170"/>
    <w:p w14:paraId="04179DEA" w14:textId="77777777" w:rsidR="009A1130" w:rsidRDefault="009A1130" w:rsidP="001C1170"/>
    <w:p w14:paraId="1911DE92" w14:textId="77777777" w:rsidR="009A1130" w:rsidRDefault="009A1130" w:rsidP="001C1170"/>
    <w:p w14:paraId="5D94423B" w14:textId="77777777" w:rsidR="009A1130" w:rsidRDefault="009A1130" w:rsidP="001C1170"/>
    <w:p w14:paraId="1BBDBE4F" w14:textId="77777777" w:rsidR="009A1130" w:rsidRDefault="009A1130" w:rsidP="001C1170"/>
    <w:p w14:paraId="593A8D40" w14:textId="77777777" w:rsidR="009A1130" w:rsidRDefault="009A1130" w:rsidP="001C1170"/>
    <w:p w14:paraId="3649C510" w14:textId="77777777" w:rsidR="009A1130" w:rsidRDefault="009A1130" w:rsidP="001C1170"/>
    <w:p w14:paraId="4719D778" w14:textId="77777777" w:rsidR="009A1130" w:rsidRDefault="009A1130" w:rsidP="001C1170"/>
    <w:p w14:paraId="456BFC92" w14:textId="77777777" w:rsidR="009A1130" w:rsidRDefault="009A1130" w:rsidP="001C1170"/>
    <w:p w14:paraId="5AC54F0B" w14:textId="77777777" w:rsidR="009A1130" w:rsidRDefault="009A1130" w:rsidP="001C1170"/>
    <w:p w14:paraId="5E764950" w14:textId="77777777" w:rsidR="009A1130" w:rsidRDefault="009A1130" w:rsidP="001C1170"/>
    <w:p w14:paraId="7AE7669D" w14:textId="77777777" w:rsidR="009A1130" w:rsidRDefault="009A1130" w:rsidP="001C1170"/>
    <w:p w14:paraId="1A588C19" w14:textId="77777777" w:rsidR="009A1130" w:rsidRDefault="009A1130" w:rsidP="001C1170"/>
    <w:p w14:paraId="520366AF" w14:textId="77777777" w:rsidR="009A1130" w:rsidRPr="00381992" w:rsidRDefault="0039342A" w:rsidP="009A1130">
      <w:pPr>
        <w:jc w:val="center"/>
        <w:rPr>
          <w:b/>
        </w:rPr>
      </w:pPr>
      <w:r w:rsidRPr="00381992">
        <w:rPr>
          <w:b/>
        </w:rPr>
        <w:lastRenderedPageBreak/>
        <w:t>The Wyatt Vs Stickney Case</w:t>
      </w:r>
    </w:p>
    <w:p w14:paraId="67872BFA" w14:textId="77777777" w:rsidR="001C1170" w:rsidRDefault="0039342A" w:rsidP="009A1130">
      <w:pPr>
        <w:ind w:firstLine="720"/>
      </w:pPr>
      <w:r>
        <w:t>Different states have different laws governing the rights of patients, including the mentally impaired. However, when it comes to the right of treatment, there should be some omissions in the law as some of the provisions and specific requirements of the mentally impaired towards individualized treatment cannot be achieved. When it comes to the mentally impaired, such patients require many needs that making an institution o have all of them and be able to provide such individual treatment to every mentally impaired patient cannot be practical. With this regard, despite there being provisions of the rights to treatment of citizens, the case should be different with the mentally impaired as that one can result to deinstituti</w:t>
      </w:r>
      <w:r w:rsidR="00A26E4C">
        <w:t xml:space="preserve">onalization like in the case of Stickney </w:t>
      </w:r>
      <w:r w:rsidR="00B42A26">
        <w:t>vs.</w:t>
      </w:r>
      <w:r w:rsidR="00A26E4C">
        <w:t xml:space="preserve"> </w:t>
      </w:r>
      <w:r>
        <w:t xml:space="preserve">Wyatt case. </w:t>
      </w:r>
    </w:p>
    <w:p w14:paraId="47AEFEF2" w14:textId="77777777" w:rsidR="001C1170" w:rsidRDefault="0039342A" w:rsidP="009A1130">
      <w:pPr>
        <w:ind w:firstLine="720"/>
      </w:pPr>
      <w:r>
        <w:t xml:space="preserve">The institutional changes that were being mandated by the lawsuits through the decree seemed impossible. The lawsuits draw into question the role of the tradition litigation through courts. Courts are making rulings from their perspective without taking into consideration what the institutions that they are ruling over to implement change what they undergo and how they operate. The role of the courts usually terminates with a judicial decree of the rights that exists between parties, and they give an order that directs the parties towards performing individual acts. The courts unanimously in the Wyatt </w:t>
      </w:r>
      <w:r w:rsidR="00B42A26">
        <w:t>vs.</w:t>
      </w:r>
      <w:r>
        <w:t xml:space="preserve"> Stickney case ruled that these institutions should adopt changes of proving individualized medication as a right to treatment to the mentally impaired without knowing what the institutions need to undergo to achieve this status quo. Some institutional changes are impossible!</w:t>
      </w:r>
    </w:p>
    <w:p w14:paraId="1F775DB0" w14:textId="77777777" w:rsidR="001C1170" w:rsidRDefault="0039342A" w:rsidP="009A1130">
      <w:pPr>
        <w:ind w:firstLine="720"/>
      </w:pPr>
      <w:r>
        <w:t xml:space="preserve">Customarily, the actual performance of the changes that the courts have tried to intervene like in this case has been taking place without the participation of these courts. When it is time for the institutions to implement an inevitable change, it will just be implemented and initiated as </w:t>
      </w:r>
      <w:r>
        <w:lastRenderedPageBreak/>
        <w:t xml:space="preserve">planned. However, when the courts give a decree that there should be changes to accommodate the mentally impaired and give them individualized treatment without taking into consideration whether the institutions themselves have the mandate of initiating the changes, it becomes awful leading to deinstitutionalization as in the case. It is evident how the federal courts in recent cases are mandating institutional changes through an assumed active role in hospitals and prisons. In their premiere decree, they have assumed they have taken into an implementation of the orders actively assuring that these decrees become more that then the pronouncements on paper. The court had decreed this Wyatt and Stickney case, and later to revisit it and reinforce the implementation of the institutional change. The judge in the case, Frank Johnson ruled in the District of Alabama that the mentally in the state hospitals of Alabama were being denied their rights of treatment and termed it a violation of the constitution, not knowing the effect the implementation could bring. </w:t>
      </w:r>
    </w:p>
    <w:p w14:paraId="4151DF43" w14:textId="77777777" w:rsidR="001C1170" w:rsidRDefault="0039342A" w:rsidP="009A1130">
      <w:pPr>
        <w:ind w:firstLine="720"/>
      </w:pPr>
      <w:r>
        <w:t>In judge Johnson’s ruling, he unquestio</w:t>
      </w:r>
      <w:r w:rsidR="0002683F">
        <w:t>nably decreed that patients possess the</w:t>
      </w:r>
      <w:r>
        <w:t xml:space="preserve"> right to </w:t>
      </w:r>
      <w:r w:rsidR="0002683F">
        <w:t>obtain</w:t>
      </w:r>
      <w:r>
        <w:t xml:space="preserve"> such individual treatment and added that such would </w:t>
      </w:r>
      <w:r w:rsidR="00EB1E15">
        <w:t>provide</w:t>
      </w:r>
      <w:r>
        <w:t xml:space="preserve"> them a realistic </w:t>
      </w:r>
      <w:r w:rsidR="00EB1E15">
        <w:t>chance</w:t>
      </w:r>
      <w:r>
        <w:t xml:space="preserve"> for them to be cured or as well be able to improve their mental conditions. He said that the programs in the hospitals had only failed to conform towards the minimums that were established towards the tr</w:t>
      </w:r>
      <w:r w:rsidR="00BC7059">
        <w:t>eatment of the mentally ill. T</w:t>
      </w:r>
      <w:r>
        <w:t>hus</w:t>
      </w:r>
      <w:r w:rsidR="00BC7059">
        <w:t>,</w:t>
      </w:r>
      <w:r>
        <w:t xml:space="preserve"> he said that the constitution clause had been violated. He quoted in is ruling, </w:t>
      </w:r>
      <w:r w:rsidRPr="00BC7059">
        <w:rPr>
          <w:i/>
        </w:rPr>
        <w:t xml:space="preserve">“ to </w:t>
      </w:r>
      <w:r w:rsidR="008B4156" w:rsidRPr="00BC7059">
        <w:rPr>
          <w:i/>
        </w:rPr>
        <w:t>deny</w:t>
      </w:r>
      <w:r w:rsidRPr="00BC7059">
        <w:rPr>
          <w:i/>
        </w:rPr>
        <w:t xml:space="preserve"> any citizen his liberty upon altruistic theory whose confinement is for reason of human therapeutic and fail to give </w:t>
      </w:r>
      <w:r w:rsidR="008B4156" w:rsidRPr="00BC7059">
        <w:rPr>
          <w:i/>
        </w:rPr>
        <w:t>sufficient</w:t>
      </w:r>
      <w:r w:rsidRPr="00BC7059">
        <w:rPr>
          <w:i/>
        </w:rPr>
        <w:t xml:space="preserve"> treatment has thus violated the </w:t>
      </w:r>
      <w:r w:rsidR="00D33A18" w:rsidRPr="00BC7059">
        <w:rPr>
          <w:i/>
        </w:rPr>
        <w:t>basics</w:t>
      </w:r>
      <w:r w:rsidR="0050403D">
        <w:rPr>
          <w:i/>
        </w:rPr>
        <w:t xml:space="preserve"> of the due process</w:t>
      </w:r>
      <w:r w:rsidRPr="00BC7059">
        <w:rPr>
          <w:i/>
        </w:rPr>
        <w:t>”</w:t>
      </w:r>
      <w:r w:rsidR="0050403D" w:rsidRPr="0050403D">
        <w:rPr>
          <w:shd w:val="clear" w:color="auto" w:fill="FFFFFF"/>
        </w:rPr>
        <w:t xml:space="preserve"> </w:t>
      </w:r>
      <w:r w:rsidR="0050403D">
        <w:rPr>
          <w:shd w:val="clear" w:color="auto" w:fill="FFFFFF"/>
        </w:rPr>
        <w:t xml:space="preserve">(Kaplan, </w:t>
      </w:r>
      <w:r w:rsidR="0050403D" w:rsidRPr="00B70ED0">
        <w:rPr>
          <w:shd w:val="clear" w:color="auto" w:fill="FFFFFF"/>
        </w:rPr>
        <w:t xml:space="preserve">1975). </w:t>
      </w:r>
      <w:r>
        <w:t xml:space="preserve"> Thus, the institutions were insinuated to be wrong by not providing mentally impaired patients with individualized medicine despite that they had no capabilities by the moment and even in the later implementation, it only led to deinstitutionalization since the exercise was an impossibility.  </w:t>
      </w:r>
    </w:p>
    <w:p w14:paraId="7CEEDB43" w14:textId="47A4334D" w:rsidR="001C1170" w:rsidRDefault="0039342A" w:rsidP="009A1130">
      <w:pPr>
        <w:ind w:firstLine="720"/>
      </w:pPr>
      <w:r>
        <w:lastRenderedPageBreak/>
        <w:t>The conditions for the implementation of the changes in Alabama were deplorable, but still, the court never considered this. Even after the institution appealing, the requirements for the improvement of the conditions was commendable. Birnbaum had sought for development, which could have been a good idea by the lost to Ennis and his friends in the Mental Health Law Project. There primary goals of Ennis and the Law Project friends was to abolish the institution, that it had failed to implement the required status quo for the mentally impaired. The prospect of victory for Birnbaum fell out due to the opposed agendas that were highlighted. According to Birnbaum, the decision that had been raised was insurmountable as he prospected in financial problems that could lead to the discharge of thousands of the patients and thus he sorted to challenge the 1965 Medicaid Constitutional legislation that had an exclusion of Medicaid benefits to mental health patients that were less than sixty-five years. According to him, if Medicaid could have included mental health patients, then Alabama could be in a position to quadruple its expenditure on the mental health patients without any increment on the appropriation of the state. Unfortunately, the other lawsuits in the case were never willing to participate in the case as they thought that Birnbaum stated that their recommendation was being opposed by Birnbaum as bad. Insinuation!</w:t>
      </w:r>
    </w:p>
    <w:p w14:paraId="0150FE4C" w14:textId="2D6DE340" w:rsidR="0026151C" w:rsidRDefault="0026151C" w:rsidP="0026151C">
      <w:r>
        <w:t>Alongside right to treatment, there has been the issue about applied behavior analysis (ABA), which has also been controversial in many states and affecting some decision makers in the health sector. ABA is the scientific approach of modification of behavior that is based on the application of learning principles. Since its inception, ABA has been applied in various situations like schools, private homes, workplaces and hospitals. ABA is used as a form of therapy in addressing a rang of mental health conditions</w:t>
      </w:r>
      <w:r w:rsidR="006725C6">
        <w:t xml:space="preserve">. With the case of Case of Wyatt and Stickney, most people were proposing that ABA could have been another intervention by the prison in </w:t>
      </w:r>
      <w:r w:rsidR="006725C6">
        <w:lastRenderedPageBreak/>
        <w:t xml:space="preserve">addition to providing individualized medication to the patients, towards achieving their stable mental health. According to John Watson, he believed that through ABA, there should be study of observed behavior instead of the internal events. Just like the way principles of operant conditioning have been applied in real-life situation in humans in modifying behavior and solve problems, ABA as well can be utilized in the same way. The ABA process is considered scientific since it involves a system process of data collection on the collective behavior to be changed. The principle of ABA is to alter behavior by increasing or decreasing its occurrence. ABA is based on Classical and Operant conditioning principles. </w:t>
      </w:r>
    </w:p>
    <w:p w14:paraId="6BB3E9BC" w14:textId="7CC478A8" w:rsidR="00AF2ABC" w:rsidRDefault="00AF2ABC" w:rsidP="0026151C">
      <w:r>
        <w:t>ABA is utilized through some dimensions to achieve its results. The first is application, where the behaviors selected should be socially relevant to the individual as well as the family. The analysts are interested in in the precise measurement, quantification, prediction and control of behavior. The analysts utilize an experimental approach to behavior so that change can be demonstrated to have occurred in what they call analytic. Technology is applied in a way that when the behavioral intervention is being implemented, the analysts provide operational definitions in detail and they record the procedures so that another analysts can replicate this intervention. ABA is conceptually systematic in that it’s interventions are behaviorally validated empirically. The intervention of ABA are considered effective is they seem to produce a change in behavior of practical value. And finally, generalizable, meaning that the interventions of behavior can only be effective if results can be extended to different settings, caregivers or other related behaviors.</w:t>
      </w:r>
    </w:p>
    <w:p w14:paraId="725E95F1" w14:textId="77777777" w:rsidR="00695D82" w:rsidRDefault="0039342A" w:rsidP="009A1130">
      <w:pPr>
        <w:ind w:firstLine="720"/>
      </w:pPr>
      <w:r>
        <w:t>Conclusively, the Wyatt and Stickney case was unintentionally and professionally baseless. The Wyatt and Stickney case let into loss of the scarce mental health resources in Alabama. A large number o</w:t>
      </w:r>
      <w:r w:rsidR="009A1130">
        <w:t>f</w:t>
      </w:r>
      <w:r>
        <w:t xml:space="preserve"> mental health patients were released at a time when enormous </w:t>
      </w:r>
      <w:r>
        <w:lastRenderedPageBreak/>
        <w:t>amounts of money had been invested in improving outmoded buildings. All these resulted from the attempt to comply with the ruling made by Judge Johnson. It is not precise if the treatment for the patients that remained improved despite the ration of staffing was growing. In general, in an objective definition, the right to treatment did not mean treatment at all, but rather, it was defined by the staffing ratio and physical amenities in Alabama.</w:t>
      </w:r>
    </w:p>
    <w:p w14:paraId="31AB4174" w14:textId="77777777" w:rsidR="009A1130" w:rsidRDefault="009A1130" w:rsidP="001C1170"/>
    <w:p w14:paraId="11FABF35" w14:textId="77777777" w:rsidR="009A1130" w:rsidRDefault="009A1130" w:rsidP="001C1170"/>
    <w:p w14:paraId="5B861358" w14:textId="77777777" w:rsidR="009A1130" w:rsidRDefault="009A1130" w:rsidP="001C1170"/>
    <w:p w14:paraId="41A0EE8F" w14:textId="77777777" w:rsidR="009A1130" w:rsidRDefault="009A1130" w:rsidP="001C1170"/>
    <w:p w14:paraId="55ECCAC0" w14:textId="77777777" w:rsidR="009A1130" w:rsidRDefault="009A1130" w:rsidP="001C1170"/>
    <w:p w14:paraId="782B09AE" w14:textId="77777777" w:rsidR="009A1130" w:rsidRDefault="009A1130" w:rsidP="001C1170"/>
    <w:p w14:paraId="261F4190" w14:textId="77777777" w:rsidR="009A1130" w:rsidRDefault="009A1130" w:rsidP="001C1170"/>
    <w:p w14:paraId="1822F3C7" w14:textId="77777777" w:rsidR="009A1130" w:rsidRDefault="009A1130" w:rsidP="001C1170"/>
    <w:p w14:paraId="0FEED131" w14:textId="77777777" w:rsidR="009A1130" w:rsidRDefault="009A1130" w:rsidP="001C1170"/>
    <w:p w14:paraId="57DC0B9B" w14:textId="77777777" w:rsidR="009A1130" w:rsidRDefault="009A1130" w:rsidP="001C1170"/>
    <w:p w14:paraId="2FB62C1A" w14:textId="77777777" w:rsidR="009A1130" w:rsidRDefault="009A1130" w:rsidP="001C1170"/>
    <w:p w14:paraId="7AC69F68" w14:textId="77777777" w:rsidR="009A1130" w:rsidRDefault="009A1130" w:rsidP="001C1170"/>
    <w:p w14:paraId="30DE614D" w14:textId="77777777" w:rsidR="009A1130" w:rsidRDefault="009A1130" w:rsidP="001C1170"/>
    <w:p w14:paraId="5E479F03" w14:textId="77777777" w:rsidR="009A1130" w:rsidRDefault="009A1130" w:rsidP="001C1170"/>
    <w:p w14:paraId="7CAC2056" w14:textId="77777777" w:rsidR="009A1130" w:rsidRDefault="009A1130" w:rsidP="001C1170"/>
    <w:p w14:paraId="726172CF" w14:textId="77777777" w:rsidR="009A1130" w:rsidRDefault="009A1130" w:rsidP="001C1170"/>
    <w:p w14:paraId="68E57FE3" w14:textId="1855B653" w:rsidR="009A1130" w:rsidRDefault="009A1130" w:rsidP="001C1170"/>
    <w:p w14:paraId="2B405A35" w14:textId="77777777" w:rsidR="00AF2ABC" w:rsidRDefault="00AF2ABC" w:rsidP="001C1170">
      <w:bookmarkStart w:id="0" w:name="_GoBack"/>
      <w:bookmarkEnd w:id="0"/>
    </w:p>
    <w:p w14:paraId="47680D5E" w14:textId="77777777" w:rsidR="001C1170" w:rsidRDefault="0039342A" w:rsidP="009A1130">
      <w:pPr>
        <w:jc w:val="center"/>
      </w:pPr>
      <w:r>
        <w:lastRenderedPageBreak/>
        <w:t>References</w:t>
      </w:r>
    </w:p>
    <w:p w14:paraId="7DD5AA2F" w14:textId="77777777" w:rsidR="009A1130" w:rsidRPr="00B70ED0" w:rsidRDefault="0039342A" w:rsidP="00B70ED0">
      <w:pPr>
        <w:ind w:left="720" w:hanging="720"/>
        <w:contextualSpacing/>
        <w:rPr>
          <w:shd w:val="clear" w:color="auto" w:fill="FFFFFF"/>
        </w:rPr>
      </w:pPr>
      <w:proofErr w:type="spellStart"/>
      <w:r w:rsidRPr="00B70ED0">
        <w:rPr>
          <w:shd w:val="clear" w:color="auto" w:fill="FFFFFF"/>
        </w:rPr>
        <w:t>Carr</w:t>
      </w:r>
      <w:proofErr w:type="spellEnd"/>
      <w:r w:rsidRPr="00B70ED0">
        <w:rPr>
          <w:shd w:val="clear" w:color="auto" w:fill="FFFFFF"/>
        </w:rPr>
        <w:t>, L. W., &amp; In, A. D. A. P. (2004). Wyatt v. Stickney: A landmark decision. </w:t>
      </w:r>
      <w:r w:rsidRPr="00B70ED0">
        <w:rPr>
          <w:i/>
          <w:iCs/>
          <w:shd w:val="clear" w:color="auto" w:fill="FFFFFF"/>
        </w:rPr>
        <w:t>Alabama Disabilities Advocacy Program Newsletter</w:t>
      </w:r>
      <w:r w:rsidRPr="00B70ED0">
        <w:rPr>
          <w:shd w:val="clear" w:color="auto" w:fill="FFFFFF"/>
        </w:rPr>
        <w:t>, 1-3.</w:t>
      </w:r>
    </w:p>
    <w:p w14:paraId="08EEC184" w14:textId="77777777" w:rsidR="009A1130" w:rsidRPr="00B70ED0" w:rsidRDefault="0039342A" w:rsidP="00B70ED0">
      <w:pPr>
        <w:ind w:left="720" w:hanging="720"/>
        <w:contextualSpacing/>
        <w:rPr>
          <w:shd w:val="clear" w:color="auto" w:fill="FFFFFF"/>
        </w:rPr>
      </w:pPr>
      <w:r w:rsidRPr="00B70ED0">
        <w:rPr>
          <w:shd w:val="clear" w:color="auto" w:fill="FFFFFF"/>
        </w:rPr>
        <w:t>Kaplan, D. S. (1975). The Wyatt Case: Implementation of a Judicial Decree Ordering Institutional Change, 84 Yale LJ 1338 (1975).</w:t>
      </w:r>
    </w:p>
    <w:p w14:paraId="4A82A2EB" w14:textId="77777777" w:rsidR="00B70ED0" w:rsidRPr="00B70ED0" w:rsidRDefault="0039342A" w:rsidP="00B70ED0">
      <w:pPr>
        <w:ind w:left="720" w:hanging="720"/>
        <w:contextualSpacing/>
        <w:rPr>
          <w:shd w:val="clear" w:color="auto" w:fill="FFFFFF"/>
        </w:rPr>
      </w:pPr>
      <w:r w:rsidRPr="00B70ED0">
        <w:rPr>
          <w:shd w:val="clear" w:color="auto" w:fill="FFFFFF"/>
        </w:rPr>
        <w:t>Schwartz, L. H. (1974). Litigating the Right to Treatment Wyatt v. Stickney. </w:t>
      </w:r>
      <w:r w:rsidRPr="00B70ED0">
        <w:rPr>
          <w:i/>
          <w:iCs/>
          <w:shd w:val="clear" w:color="auto" w:fill="FFFFFF"/>
        </w:rPr>
        <w:t>Psychiatric Services</w:t>
      </w:r>
      <w:r w:rsidRPr="00B70ED0">
        <w:rPr>
          <w:shd w:val="clear" w:color="auto" w:fill="FFFFFF"/>
        </w:rPr>
        <w:t>, </w:t>
      </w:r>
      <w:r w:rsidRPr="00B70ED0">
        <w:rPr>
          <w:i/>
          <w:iCs/>
          <w:shd w:val="clear" w:color="auto" w:fill="FFFFFF"/>
        </w:rPr>
        <w:t>25</w:t>
      </w:r>
      <w:r w:rsidRPr="00B70ED0">
        <w:rPr>
          <w:shd w:val="clear" w:color="auto" w:fill="FFFFFF"/>
        </w:rPr>
        <w:t>(7), 460-463.</w:t>
      </w:r>
    </w:p>
    <w:p w14:paraId="10B0F388" w14:textId="77777777" w:rsidR="009A1130" w:rsidRPr="00B70ED0" w:rsidRDefault="0039342A" w:rsidP="00B70ED0">
      <w:pPr>
        <w:ind w:left="720" w:hanging="720"/>
        <w:contextualSpacing/>
      </w:pPr>
      <w:r w:rsidRPr="00B70ED0">
        <w:rPr>
          <w:rStyle w:val="Emphasis"/>
          <w:bdr w:val="none" w:sz="0" w:space="0" w:color="auto" w:frame="1"/>
          <w:shd w:val="clear" w:color="auto" w:fill="FFFFFF"/>
        </w:rPr>
        <w:t>The Wyatt Case: Implementation of a Judicial Decree Ordering Institutional Change</w:t>
      </w:r>
      <w:r w:rsidRPr="00B70ED0">
        <w:rPr>
          <w:shd w:val="clear" w:color="auto" w:fill="FFFFFF"/>
        </w:rPr>
        <w:t>, 84 </w:t>
      </w:r>
      <w:r w:rsidRPr="00B70ED0">
        <w:rPr>
          <w:rStyle w:val="smallcaps"/>
          <w:smallCaps/>
          <w:bdr w:val="none" w:sz="0" w:space="0" w:color="auto" w:frame="1"/>
          <w:shd w:val="clear" w:color="auto" w:fill="FFFFFF"/>
        </w:rPr>
        <w:t>Yale L.J.</w:t>
      </w:r>
      <w:r w:rsidRPr="00B70ED0">
        <w:rPr>
          <w:shd w:val="clear" w:color="auto" w:fill="FFFFFF"/>
        </w:rPr>
        <w:t> (1975). Retrieved from: https://</w:t>
      </w:r>
      <w:proofErr w:type="spellStart"/>
      <w:r w:rsidRPr="00B70ED0">
        <w:rPr>
          <w:shd w:val="clear" w:color="auto" w:fill="FFFFFF"/>
        </w:rPr>
        <w:t>digitalcommons.law.yale.edu</w:t>
      </w:r>
      <w:proofErr w:type="spellEnd"/>
      <w:r w:rsidRPr="00B70ED0">
        <w:rPr>
          <w:shd w:val="clear" w:color="auto" w:fill="FFFFFF"/>
        </w:rPr>
        <w:t>/ylj/vol84/</w:t>
      </w:r>
      <w:proofErr w:type="spellStart"/>
      <w:r w:rsidRPr="00B70ED0">
        <w:rPr>
          <w:shd w:val="clear" w:color="auto" w:fill="FFFFFF"/>
        </w:rPr>
        <w:t>iss6</w:t>
      </w:r>
      <w:proofErr w:type="spellEnd"/>
      <w:r w:rsidRPr="00B70ED0">
        <w:rPr>
          <w:shd w:val="clear" w:color="auto" w:fill="FFFFFF"/>
        </w:rPr>
        <w:t>/3</w:t>
      </w:r>
    </w:p>
    <w:p w14:paraId="6F7B59EE" w14:textId="77777777" w:rsidR="009A1130" w:rsidRPr="001C1170" w:rsidRDefault="009A1130" w:rsidP="001C1170"/>
    <w:sectPr w:rsidR="009A1130" w:rsidRPr="001C1170" w:rsidSect="009A11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688B26" w14:textId="77777777" w:rsidR="007D31A7" w:rsidRDefault="007D31A7" w:rsidP="00963FE6">
      <w:pPr>
        <w:spacing w:line="240" w:lineRule="auto"/>
      </w:pPr>
      <w:r>
        <w:separator/>
      </w:r>
    </w:p>
  </w:endnote>
  <w:endnote w:type="continuationSeparator" w:id="0">
    <w:p w14:paraId="5AFF0738" w14:textId="77777777" w:rsidR="007D31A7" w:rsidRDefault="007D31A7" w:rsidP="00963F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0BCD65" w14:textId="77777777" w:rsidR="007D31A7" w:rsidRDefault="007D31A7" w:rsidP="00963FE6">
      <w:pPr>
        <w:spacing w:line="240" w:lineRule="auto"/>
      </w:pPr>
      <w:r>
        <w:separator/>
      </w:r>
    </w:p>
  </w:footnote>
  <w:footnote w:type="continuationSeparator" w:id="0">
    <w:p w14:paraId="48BEF43A" w14:textId="77777777" w:rsidR="007D31A7" w:rsidRDefault="007D31A7" w:rsidP="00963F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B9DAA" w14:textId="77777777" w:rsidR="009A1130" w:rsidRDefault="0039342A" w:rsidP="009A1130">
    <w:pPr>
      <w:pStyle w:val="Header"/>
      <w:jc w:val="right"/>
    </w:pPr>
    <w:r>
      <w:t xml:space="preserve">RIGHT TO </w:t>
    </w:r>
    <w:r w:rsidR="00F24E76">
      <w:t xml:space="preserve">PERSONAL </w:t>
    </w:r>
    <w:r>
      <w:t xml:space="preserve">TREATMENT </w:t>
    </w:r>
    <w:r>
      <w:tab/>
    </w:r>
    <w:r>
      <w:tab/>
    </w:r>
    <w:sdt>
      <w:sdtPr>
        <w:id w:val="1418673595"/>
        <w:docPartObj>
          <w:docPartGallery w:val="Page Numbers (Top of Page)"/>
          <w:docPartUnique/>
        </w:docPartObj>
      </w:sdtPr>
      <w:sdtEndPr>
        <w:rPr>
          <w:noProof/>
        </w:rPr>
      </w:sdtEndPr>
      <w:sdtContent>
        <w:r w:rsidR="00963FE6">
          <w:fldChar w:fldCharType="begin"/>
        </w:r>
        <w:r>
          <w:instrText xml:space="preserve"> PAGE   \* MERGEFORMAT </w:instrText>
        </w:r>
        <w:r w:rsidR="00963FE6">
          <w:fldChar w:fldCharType="separate"/>
        </w:r>
        <w:r w:rsidR="00381992">
          <w:rPr>
            <w:noProof/>
          </w:rPr>
          <w:t>2</w:t>
        </w:r>
        <w:r w:rsidR="00963FE6">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5FEC5" w14:textId="77777777" w:rsidR="009A1130" w:rsidRDefault="0039342A" w:rsidP="009A1130">
    <w:pPr>
      <w:pStyle w:val="Header"/>
      <w:jc w:val="right"/>
    </w:pPr>
    <w:r>
      <w:t xml:space="preserve">Running head: RIGHT TO </w:t>
    </w:r>
    <w:r w:rsidR="00F24E76">
      <w:t xml:space="preserve">PERSONAL </w:t>
    </w:r>
    <w:r>
      <w:t>TREATMENT</w:t>
    </w:r>
    <w:r>
      <w:tab/>
    </w:r>
    <w:r>
      <w:tab/>
    </w:r>
    <w:sdt>
      <w:sdtPr>
        <w:id w:val="-921645043"/>
        <w:docPartObj>
          <w:docPartGallery w:val="Page Numbers (Top of Page)"/>
          <w:docPartUnique/>
        </w:docPartObj>
      </w:sdtPr>
      <w:sdtEndPr>
        <w:rPr>
          <w:noProof/>
        </w:rPr>
      </w:sdtEndPr>
      <w:sdtContent>
        <w:r w:rsidR="00963FE6">
          <w:fldChar w:fldCharType="begin"/>
        </w:r>
        <w:r>
          <w:instrText xml:space="preserve"> PAGE   \* MERGEFORMAT </w:instrText>
        </w:r>
        <w:r w:rsidR="00963FE6">
          <w:fldChar w:fldCharType="separate"/>
        </w:r>
        <w:r w:rsidR="00381992">
          <w:rPr>
            <w:noProof/>
          </w:rPr>
          <w:t>1</w:t>
        </w:r>
        <w:r w:rsidR="00963FE6">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3B85"/>
    <w:rsid w:val="0002683F"/>
    <w:rsid w:val="001C1170"/>
    <w:rsid w:val="0026151C"/>
    <w:rsid w:val="00312D62"/>
    <w:rsid w:val="00381992"/>
    <w:rsid w:val="0039342A"/>
    <w:rsid w:val="00486F12"/>
    <w:rsid w:val="0050403D"/>
    <w:rsid w:val="00515A7D"/>
    <w:rsid w:val="0052295D"/>
    <w:rsid w:val="005D44D2"/>
    <w:rsid w:val="006725C6"/>
    <w:rsid w:val="00695D82"/>
    <w:rsid w:val="0075475A"/>
    <w:rsid w:val="007D31A7"/>
    <w:rsid w:val="0081721B"/>
    <w:rsid w:val="008B4156"/>
    <w:rsid w:val="008F3B85"/>
    <w:rsid w:val="0091188A"/>
    <w:rsid w:val="00963FE6"/>
    <w:rsid w:val="009A1130"/>
    <w:rsid w:val="00A26E4C"/>
    <w:rsid w:val="00AF2ABC"/>
    <w:rsid w:val="00B42A26"/>
    <w:rsid w:val="00B70ED0"/>
    <w:rsid w:val="00BC7059"/>
    <w:rsid w:val="00D33A18"/>
    <w:rsid w:val="00DD6165"/>
    <w:rsid w:val="00E06962"/>
    <w:rsid w:val="00EB1E15"/>
    <w:rsid w:val="00F24112"/>
    <w:rsid w:val="00F24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5F28B"/>
  <w15:docId w15:val="{47FA638F-09E6-427E-8D22-DB7CECB7A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F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130"/>
    <w:pPr>
      <w:tabs>
        <w:tab w:val="center" w:pos="4680"/>
        <w:tab w:val="right" w:pos="9360"/>
      </w:tabs>
      <w:spacing w:line="240" w:lineRule="auto"/>
    </w:pPr>
  </w:style>
  <w:style w:type="character" w:customStyle="1" w:styleId="HeaderChar">
    <w:name w:val="Header Char"/>
    <w:basedOn w:val="DefaultParagraphFont"/>
    <w:link w:val="Header"/>
    <w:uiPriority w:val="99"/>
    <w:rsid w:val="009A1130"/>
  </w:style>
  <w:style w:type="paragraph" w:styleId="Footer">
    <w:name w:val="footer"/>
    <w:basedOn w:val="Normal"/>
    <w:link w:val="FooterChar"/>
    <w:uiPriority w:val="99"/>
    <w:unhideWhenUsed/>
    <w:rsid w:val="009A1130"/>
    <w:pPr>
      <w:tabs>
        <w:tab w:val="center" w:pos="4680"/>
        <w:tab w:val="right" w:pos="9360"/>
      </w:tabs>
      <w:spacing w:line="240" w:lineRule="auto"/>
    </w:pPr>
  </w:style>
  <w:style w:type="character" w:customStyle="1" w:styleId="FooterChar">
    <w:name w:val="Footer Char"/>
    <w:basedOn w:val="DefaultParagraphFont"/>
    <w:link w:val="Footer"/>
    <w:uiPriority w:val="99"/>
    <w:rsid w:val="009A1130"/>
  </w:style>
  <w:style w:type="character" w:styleId="Emphasis">
    <w:name w:val="Emphasis"/>
    <w:basedOn w:val="DefaultParagraphFont"/>
    <w:uiPriority w:val="20"/>
    <w:qFormat/>
    <w:rsid w:val="00B70ED0"/>
    <w:rPr>
      <w:i/>
      <w:iCs/>
    </w:rPr>
  </w:style>
  <w:style w:type="character" w:customStyle="1" w:styleId="smallcaps">
    <w:name w:val="smallcaps"/>
    <w:basedOn w:val="DefaultParagraphFont"/>
    <w:rsid w:val="00B70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7</Pages>
  <Words>1400</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2019-08-01T20:27:00Z</dcterms:created>
  <dcterms:modified xsi:type="dcterms:W3CDTF">2019-08-03T03:50:00Z</dcterms:modified>
</cp:coreProperties>
</file>